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20" w:lineRule="exact"/>
        <w:jc w:val="center"/>
        <w:rPr>
          <w:rFonts w:ascii="方正黑体_GBK" w:hAnsi="黑体" w:cs="黑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（一）技术需求信息表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bookmarkStart w:id="0" w:name="_GoBack"/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</w:rPr>
              <w:t>中药口服液的澄清技术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合作方式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委托研发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技术改造（设备、研发生产条件）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科技金融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质量体系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市场前景分析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技术购买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</w:t>
            </w:r>
          </w:p>
          <w:p>
            <w:pPr>
              <w:spacing w:line="300" w:lineRule="exact"/>
              <w:ind w:left="160" w:leftChars="50"/>
              <w:jc w:val="lef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共建中试、熟化基地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拟投入资金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  <w:t xml:space="preserve">      </w:t>
            </w: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val="en-US" w:eastAsia="zh-CN"/>
              </w:rPr>
              <w:t>200</w:t>
            </w:r>
            <w:r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技术领域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color w:val="000000"/>
                <w:sz w:val="21"/>
                <w:szCs w:val="21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生物与新医药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</w:t>
            </w:r>
            <w:r>
              <w:rPr>
                <w:rFonts w:ascii="等线" w:hAnsi="等线"/>
                <w:color w:val="000000"/>
                <w:sz w:val="21"/>
                <w:szCs w:val="21"/>
              </w:rPr>
              <w:t> 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先进制造与自动化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现代农业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航空航天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rFonts w:ascii="等线" w:hAnsi="等线" w:cs="等线"/>
                <w:color w:val="000000"/>
                <w:kern w:val="0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新能源与节能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资源与环境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高技术服务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</w:p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建筑业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新材料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</w:t>
            </w:r>
            <w:r>
              <w:rPr>
                <w:sz w:val="21"/>
                <w:szCs w:val="21"/>
              </w:rPr>
              <w:fldChar w:fldCharType="begin"/>
            </w:r>
            <w:r>
              <w:rPr>
                <w:sz w:val="21"/>
                <w:szCs w:val="21"/>
              </w:rPr>
              <w:instrText xml:space="preserve"> HYPERLINK \l "/javascript:void(0)" </w:instrText>
            </w:r>
            <w:r>
              <w:rPr>
                <w:sz w:val="21"/>
                <w:szCs w:val="21"/>
              </w:rPr>
              <w:fldChar w:fldCharType="separate"/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t>电子信息</w:t>
            </w:r>
            <w:r>
              <w:rPr>
                <w:rStyle w:val="5"/>
                <w:rFonts w:hint="eastAsia" w:ascii="Calibri" w:hAnsi="Calibri" w:eastAsia="宋体"/>
                <w:color w:val="000000"/>
                <w:sz w:val="21"/>
                <w:szCs w:val="21"/>
              </w:rPr>
              <w:fldChar w:fldCharType="end"/>
            </w:r>
            <w:r>
              <w:rPr>
                <w:color w:val="000000"/>
                <w:sz w:val="21"/>
                <w:szCs w:val="21"/>
              </w:rPr>
              <w:t> </w:t>
            </w:r>
            <w:r>
              <w:rPr>
                <w:rFonts w:ascii="仿宋_GB2312" w:hAnsi="仿宋_GB2312"/>
                <w:color w:val="000000"/>
                <w:sz w:val="21"/>
                <w:szCs w:val="21"/>
              </w:rPr>
              <w:t>□其它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需求背景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中药口服液的生产工艺中，因沉淀导致的澄清度不合格的问题一直是比较突出的质量问题。我公司的正柴胡饮合剂因沉淀问题一直没有大规模生产，目前正柴胡饮合剂的在疫情防治方面有较明确的作用，需求明显增大，急需改进工艺，保证产品质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需解决的主要技术问题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</w:rPr>
              <w:t>通过利用先进的澄清技术或设备提高中药口服液的澄清度、沉淀问题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拟实现的主要技术目标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1"/>
                <w:szCs w:val="21"/>
                <w:lang w:eastAsia="zh-CN"/>
              </w:rPr>
              <w:t>成品有效期内无沉淀产生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关键词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需求所属企业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8"/>
              </w:rPr>
              <w:t>湖北凤凰白云山药业有限公司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企业地址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8"/>
              </w:rPr>
              <w:t>湖北省麻城经济开发区金桥大道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所在区域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企业性质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国有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集体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私营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企业联系人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auto"/>
                <w:sz w:val="22"/>
                <w:lang w:eastAsia="zh-CN"/>
              </w:rPr>
              <w:t>任晓晴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22"/>
              </w:rPr>
              <w:t>企业联系人手机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auto"/>
                <w:kern w:val="0"/>
                <w:sz w:val="22"/>
                <w:szCs w:val="22"/>
              </w:rPr>
            </w:pPr>
            <w:r>
              <w:rPr>
                <w:rFonts w:hint="eastAsia" w:ascii="宋体" w:cs="宋体"/>
                <w:color w:val="auto"/>
                <w:sz w:val="22"/>
                <w:lang w:val="en-US" w:eastAsia="zh-CN"/>
              </w:rPr>
              <w:t>18872722112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行业对标企业或机构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现有基础情况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ind w:left="157" w:leftChars="49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Arial" w:hAnsi="Arial" w:eastAsia="宋体" w:cs="Arial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公司于2004年9月通过国家GMP认证，拥有前处理、中药提取、液体制剂三个车间，具有口服液、糖浆剂、煎膏剂等三种剂型26个品规的全自动生产线，拥有各种现代化的制药设备及检测仪器188台套，具备年创产值3亿元的生产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需求的重要程度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迫切解决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核心难题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非重要项目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属于技术储备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需求有效期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eastAsia" w:ascii="仿宋_GB2312" w:hAnsi="等线" w:eastAsia="仿宋_GB2312" w:cs="等线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仿宋_GB2312" w:hAnsi="等线" w:cs="等线"/>
                <w:color w:val="000000"/>
                <w:kern w:val="0"/>
                <w:sz w:val="22"/>
                <w:szCs w:val="22"/>
                <w:lang w:eastAsia="zh-CN"/>
              </w:rPr>
              <w:t>一年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265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是否在湖北技术交易大市场公开发布</w:t>
            </w:r>
          </w:p>
        </w:tc>
        <w:tc>
          <w:tcPr>
            <w:tcW w:w="58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ascii="仿宋_GB2312" w:hAnsi="等线" w:cs="等线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是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t xml:space="preserve">     </w:t>
            </w:r>
            <w:r>
              <w:rPr>
                <w:rFonts w:ascii="仿宋_GB2312" w:hAnsi="仿宋_GB2312" w:cs="等线"/>
                <w:color w:val="000000"/>
                <w:kern w:val="0"/>
                <w:sz w:val="22"/>
                <w:szCs w:val="22"/>
              </w:rPr>
              <w:sym w:font="Wingdings 2" w:char="0052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E07982"/>
    <w:multiLevelType w:val="multilevel"/>
    <w:tmpl w:val="20E07982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02C18"/>
    <w:rsid w:val="2ED0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color w:val="FF0000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3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nhideWhenUsed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2021-10-08T06:51:00Z</dcterms:created>
  <dc:creator>吴思维</dc:creator>
  <cp:lastModifiedBy>吴思维</cp:lastModifiedBy>
  <dcterms:modified xsi:type="dcterms:W3CDTF">2021-10-08T06:51:56Z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C9EDBE92E4094C3D9437D52E9D2785BA</vt:lpwstr>
  </property>
</Properties>
</file>